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5DB2" w14:textId="3C6312F8" w:rsidR="00956635" w:rsidRDefault="00956635">
      <w:pPr>
        <w:rPr>
          <w:sz w:val="24"/>
          <w:szCs w:val="24"/>
        </w:rPr>
      </w:pPr>
    </w:p>
    <w:p w14:paraId="4A05371E" w14:textId="45204A12" w:rsidR="00BF7A3F" w:rsidRDefault="00BF7A3F">
      <w:pPr>
        <w:rPr>
          <w:sz w:val="24"/>
          <w:szCs w:val="24"/>
        </w:rPr>
      </w:pPr>
    </w:p>
    <w:p w14:paraId="02C67C05" w14:textId="594B0106" w:rsidR="00BF7A3F" w:rsidRDefault="00BF7A3F" w:rsidP="00BF7A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PROSTATE CANCER SCREENING UPDATE</w:t>
      </w:r>
    </w:p>
    <w:p w14:paraId="2D731753" w14:textId="3352A451" w:rsidR="00BF7A3F" w:rsidRDefault="00BF7A3F" w:rsidP="00BF7A3F">
      <w:pPr>
        <w:jc w:val="center"/>
        <w:rPr>
          <w:b/>
          <w:bCs/>
          <w:sz w:val="24"/>
          <w:szCs w:val="24"/>
          <w:u w:val="single"/>
        </w:rPr>
      </w:pPr>
    </w:p>
    <w:p w14:paraId="0476971D" w14:textId="7B6AEE2F" w:rsidR="00BF7A3F" w:rsidRDefault="00BF7A3F" w:rsidP="00BF7A3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European Association of Urology (EAU), 2019</w:t>
      </w:r>
    </w:p>
    <w:p w14:paraId="50406900" w14:textId="5208FC71" w:rsidR="00BF7A3F" w:rsidRDefault="00BF7A3F" w:rsidP="00BF7A3F">
      <w:pPr>
        <w:jc w:val="center"/>
        <w:rPr>
          <w:sz w:val="24"/>
          <w:szCs w:val="24"/>
        </w:rPr>
      </w:pPr>
    </w:p>
    <w:p w14:paraId="3DC953EB" w14:textId="00DFD199" w:rsidR="00BF7A3F" w:rsidRDefault="00BF7A3F" w:rsidP="00BF7A3F">
      <w:pPr>
        <w:jc w:val="both"/>
        <w:rPr>
          <w:sz w:val="24"/>
          <w:szCs w:val="24"/>
        </w:rPr>
      </w:pPr>
      <w:r>
        <w:rPr>
          <w:sz w:val="24"/>
          <w:szCs w:val="24"/>
        </w:rPr>
        <w:t>The EAU’s Position Paper, published in the journal European Urology</w:t>
      </w:r>
      <w:r w:rsidR="00A00B3A">
        <w:rPr>
          <w:sz w:val="24"/>
          <w:szCs w:val="24"/>
        </w:rPr>
        <w:t>*</w:t>
      </w:r>
      <w:r>
        <w:rPr>
          <w:sz w:val="24"/>
          <w:szCs w:val="24"/>
        </w:rPr>
        <w:t>, represents the conclusions of probably the most expert, unbiased body so far to report on Prostate Cancer (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) Screening.  This is timely as the UK’s annual toll of deaths from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 continues to rise, now topping 12,000, with deaths exceeding those from breast cancer.  </w:t>
      </w:r>
      <w:r w:rsidR="004D0CC8">
        <w:rPr>
          <w:sz w:val="24"/>
          <w:szCs w:val="24"/>
        </w:rPr>
        <w:t>W</w:t>
      </w:r>
      <w:r>
        <w:rPr>
          <w:sz w:val="24"/>
          <w:szCs w:val="24"/>
        </w:rPr>
        <w:t xml:space="preserve">hilst rapid advances have been made in the diagnosis and treatment of early, curable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, </w:t>
      </w:r>
      <w:r w:rsidR="004D0CC8">
        <w:rPr>
          <w:sz w:val="24"/>
          <w:szCs w:val="24"/>
        </w:rPr>
        <w:t xml:space="preserve">50% of UK men still present with advanced, incurable </w:t>
      </w:r>
      <w:proofErr w:type="spellStart"/>
      <w:r w:rsidR="004D0CC8">
        <w:rPr>
          <w:sz w:val="24"/>
          <w:szCs w:val="24"/>
        </w:rPr>
        <w:t>PCa</w:t>
      </w:r>
      <w:proofErr w:type="spellEnd"/>
      <w:r w:rsidR="004D0CC8">
        <w:rPr>
          <w:sz w:val="24"/>
          <w:szCs w:val="24"/>
        </w:rPr>
        <w:t xml:space="preserve">. Furthermore, </w:t>
      </w:r>
      <w:r>
        <w:rPr>
          <w:sz w:val="24"/>
          <w:szCs w:val="24"/>
        </w:rPr>
        <w:t xml:space="preserve">there has been no updating of NHS guidance since the National Screening Committee counselled against </w:t>
      </w:r>
      <w:proofErr w:type="gramStart"/>
      <w:r>
        <w:rPr>
          <w:sz w:val="24"/>
          <w:szCs w:val="24"/>
        </w:rPr>
        <w:t>population-based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 screening in 2016.</w:t>
      </w:r>
    </w:p>
    <w:p w14:paraId="229128B1" w14:textId="4C4D64F7" w:rsidR="000C49F3" w:rsidRDefault="000C49F3" w:rsidP="00BF7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EAU report is based on over 80 references to articles in peer-reviewed journals published mostly since 2016.  At its core are long term studies on PSA screening running out to 20 years and demonstrating a 50% reduction in the death rate from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 compared with unscreened men.  Supporting this are the reports on second line “reflex” tests and MRI scanning which have reduced by a third the number of men who require prostatic biopsies.  This in turn has reduced the number of men diagnosed with non-aggressive, clinically insignificant cancer.</w:t>
      </w:r>
      <w:r w:rsidR="00A13457">
        <w:rPr>
          <w:sz w:val="24"/>
          <w:szCs w:val="24"/>
        </w:rPr>
        <w:t xml:space="preserve">  For those men who are nevertheless diagnosed with clinically insignificant cancer, recent studies have demonstrated the safety of </w:t>
      </w:r>
      <w:r w:rsidR="004D0CC8">
        <w:rPr>
          <w:sz w:val="24"/>
          <w:szCs w:val="24"/>
        </w:rPr>
        <w:t>A</w:t>
      </w:r>
      <w:r w:rsidR="00A13457">
        <w:rPr>
          <w:sz w:val="24"/>
          <w:szCs w:val="24"/>
        </w:rPr>
        <w:t xml:space="preserve">ctive </w:t>
      </w:r>
      <w:r w:rsidR="004D0CC8">
        <w:rPr>
          <w:sz w:val="24"/>
          <w:szCs w:val="24"/>
        </w:rPr>
        <w:t>S</w:t>
      </w:r>
      <w:r w:rsidR="00A13457">
        <w:rPr>
          <w:sz w:val="24"/>
          <w:szCs w:val="24"/>
        </w:rPr>
        <w:t xml:space="preserve">urveillance for their management.  </w:t>
      </w:r>
      <w:r w:rsidR="004D0CC8">
        <w:rPr>
          <w:sz w:val="24"/>
          <w:szCs w:val="24"/>
        </w:rPr>
        <w:t>S</w:t>
      </w:r>
      <w:r w:rsidR="00A13457">
        <w:rPr>
          <w:sz w:val="24"/>
          <w:szCs w:val="24"/>
        </w:rPr>
        <w:t xml:space="preserve">pecialist urological practice has </w:t>
      </w:r>
      <w:r w:rsidR="004D0CC8">
        <w:rPr>
          <w:sz w:val="24"/>
          <w:szCs w:val="24"/>
        </w:rPr>
        <w:t xml:space="preserve">thus </w:t>
      </w:r>
      <w:r w:rsidR="00A13457">
        <w:rPr>
          <w:sz w:val="24"/>
          <w:szCs w:val="24"/>
        </w:rPr>
        <w:t>comprehensively demonstrated that it has overcome the two principal disadvantages of screening, namely “over-diagnosis” and “over-treatment”.</w:t>
      </w:r>
    </w:p>
    <w:p w14:paraId="38844A32" w14:textId="7D016AC8" w:rsidR="006F41F3" w:rsidRDefault="006F41F3" w:rsidP="00BF7A3F">
      <w:pPr>
        <w:jc w:val="both"/>
        <w:rPr>
          <w:sz w:val="24"/>
          <w:szCs w:val="24"/>
        </w:rPr>
      </w:pPr>
      <w:r>
        <w:rPr>
          <w:sz w:val="24"/>
          <w:szCs w:val="24"/>
        </w:rPr>
        <w:t>The report provide</w:t>
      </w:r>
      <w:r w:rsidR="001067A1">
        <w:rPr>
          <w:sz w:val="24"/>
          <w:szCs w:val="24"/>
        </w:rPr>
        <w:t>s</w:t>
      </w:r>
      <w:r>
        <w:rPr>
          <w:sz w:val="24"/>
          <w:szCs w:val="24"/>
        </w:rPr>
        <w:t xml:space="preserve"> early detection strategies that avoid over-diagnosis and over-treatment whilst targeting men at risk.  A family history of prostate cancer or breast cancer and black African/Caribbean/American ethnicity are well recognised, but the report emphasizes the value of an early PSA in a man’s 40s;  a PSA above 1.00ng/</w:t>
      </w:r>
      <w:r w:rsidR="001067A1">
        <w:rPr>
          <w:sz w:val="24"/>
          <w:szCs w:val="24"/>
        </w:rPr>
        <w:t>m</w:t>
      </w:r>
      <w:r>
        <w:rPr>
          <w:sz w:val="24"/>
          <w:szCs w:val="24"/>
        </w:rPr>
        <w:t>l at this age or above 2.00ng/</w:t>
      </w:r>
      <w:r w:rsidR="001067A1">
        <w:rPr>
          <w:sz w:val="24"/>
          <w:szCs w:val="24"/>
        </w:rPr>
        <w:t>m</w:t>
      </w:r>
      <w:r>
        <w:rPr>
          <w:sz w:val="24"/>
          <w:szCs w:val="24"/>
        </w:rPr>
        <w:t xml:space="preserve">l in a man’s 50s are </w:t>
      </w:r>
      <w:r w:rsidR="001067A1">
        <w:rPr>
          <w:sz w:val="24"/>
          <w:szCs w:val="24"/>
        </w:rPr>
        <w:t>the most powerful tools to identify the risk of</w:t>
      </w:r>
      <w:r>
        <w:rPr>
          <w:sz w:val="24"/>
          <w:szCs w:val="24"/>
        </w:rPr>
        <w:t xml:space="preserve"> </w:t>
      </w:r>
      <w:r w:rsidR="001067A1">
        <w:rPr>
          <w:sz w:val="24"/>
          <w:szCs w:val="24"/>
        </w:rPr>
        <w:t xml:space="preserve"> developing</w:t>
      </w:r>
      <w:r>
        <w:rPr>
          <w:sz w:val="24"/>
          <w:szCs w:val="24"/>
        </w:rPr>
        <w:t xml:space="preserve"> aggressive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>.</w:t>
      </w:r>
      <w:r w:rsidR="00EF7B50">
        <w:rPr>
          <w:sz w:val="24"/>
          <w:szCs w:val="24"/>
        </w:rPr>
        <w:t xml:space="preserve">    Screening frequency can then be adjusted according to risk:  1-2 yearly for men at high risk and 5 yearly at least for men at low risk.</w:t>
      </w:r>
    </w:p>
    <w:p w14:paraId="777BF56A" w14:textId="66FCF66D" w:rsidR="008D2FA3" w:rsidRDefault="008D2FA3" w:rsidP="00BF7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report </w:t>
      </w:r>
      <w:r w:rsidR="00E82E51">
        <w:rPr>
          <w:sz w:val="24"/>
          <w:szCs w:val="24"/>
        </w:rPr>
        <w:t>highlights</w:t>
      </w:r>
      <w:r>
        <w:rPr>
          <w:sz w:val="24"/>
          <w:szCs w:val="24"/>
        </w:rPr>
        <w:t xml:space="preserve"> the role of MRI and novel biomarkers as well as providing a screening algorithm commencing at age 45.  The report concludes as follows:</w:t>
      </w:r>
    </w:p>
    <w:p w14:paraId="71D1D999" w14:textId="23260683" w:rsidR="008D2FA3" w:rsidRDefault="008D2FA3" w:rsidP="00737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“Organised, population-based PSA screening programmes </w:t>
      </w:r>
      <w:r w:rsidR="00737219">
        <w:rPr>
          <w:sz w:val="24"/>
          <w:szCs w:val="24"/>
        </w:rPr>
        <w:t xml:space="preserve">should be implemented at a European level to reduce </w:t>
      </w:r>
      <w:proofErr w:type="spellStart"/>
      <w:r w:rsidR="00737219">
        <w:rPr>
          <w:sz w:val="24"/>
          <w:szCs w:val="24"/>
        </w:rPr>
        <w:t>PCa</w:t>
      </w:r>
      <w:proofErr w:type="spellEnd"/>
      <w:r w:rsidR="00737219">
        <w:rPr>
          <w:sz w:val="24"/>
          <w:szCs w:val="24"/>
        </w:rPr>
        <w:t xml:space="preserve"> mortality.  A risk-adapted strategy based on PSA values at the age of 45 years should be offered to well-informed men, in whom screening intervals should be individualised according to baseline PSA levels.  PSA testing should be stopped in men with life expectancy of &lt;10 years to minimise the risk of over-diagnosis.”</w:t>
      </w:r>
    </w:p>
    <w:p w14:paraId="2142354E" w14:textId="1833BEAD" w:rsidR="00737219" w:rsidRDefault="0084296D" w:rsidP="00737219">
      <w:pPr>
        <w:jc w:val="both"/>
        <w:rPr>
          <w:sz w:val="24"/>
          <w:szCs w:val="24"/>
        </w:rPr>
      </w:pPr>
      <w:r>
        <w:rPr>
          <w:sz w:val="24"/>
          <w:szCs w:val="24"/>
        </w:rPr>
        <w:t>If the wisdom of this report is accepted in the UK, the question</w:t>
      </w:r>
      <w:r w:rsidR="00E82E51">
        <w:rPr>
          <w:sz w:val="24"/>
          <w:szCs w:val="24"/>
        </w:rPr>
        <w:t>s that</w:t>
      </w:r>
      <w:r>
        <w:rPr>
          <w:sz w:val="24"/>
          <w:szCs w:val="24"/>
        </w:rPr>
        <w:t xml:space="preserve"> arise </w:t>
      </w:r>
      <w:r w:rsidR="00E82E51">
        <w:rPr>
          <w:sz w:val="24"/>
          <w:szCs w:val="24"/>
        </w:rPr>
        <w:t>are how best to inform UK men and</w:t>
      </w:r>
      <w:r>
        <w:rPr>
          <w:sz w:val="24"/>
          <w:szCs w:val="24"/>
        </w:rPr>
        <w:t xml:space="preserve"> how effective screening could be implemented, given the current structure of Primary Care.</w:t>
      </w:r>
    </w:p>
    <w:p w14:paraId="4BB12EDF" w14:textId="77777777" w:rsidR="00A00B3A" w:rsidRDefault="00A00B3A" w:rsidP="00737219">
      <w:pPr>
        <w:jc w:val="both"/>
        <w:rPr>
          <w:sz w:val="24"/>
          <w:szCs w:val="24"/>
        </w:rPr>
      </w:pPr>
    </w:p>
    <w:p w14:paraId="755367BA" w14:textId="1893304C" w:rsidR="00A00B3A" w:rsidRDefault="00A00B3A" w:rsidP="00737219">
      <w:pPr>
        <w:jc w:val="both"/>
        <w:rPr>
          <w:sz w:val="24"/>
          <w:szCs w:val="24"/>
        </w:rPr>
      </w:pPr>
      <w:r>
        <w:rPr>
          <w:sz w:val="24"/>
          <w:szCs w:val="24"/>
        </w:rPr>
        <w:t>*European Urology 76 (2019):  142-150</w:t>
      </w:r>
    </w:p>
    <w:p w14:paraId="4A7727A9" w14:textId="2EE69AB8" w:rsidR="00A00B3A" w:rsidRDefault="00E82E51" w:rsidP="00737219">
      <w:pPr>
        <w:jc w:val="both"/>
        <w:rPr>
          <w:sz w:val="24"/>
          <w:szCs w:val="24"/>
        </w:rPr>
      </w:pPr>
      <w:hyperlink r:id="rId4" w:history="1">
        <w:r w:rsidR="00A00B3A" w:rsidRPr="001903A2">
          <w:rPr>
            <w:rStyle w:val="Hyperlink"/>
            <w:sz w:val="24"/>
            <w:szCs w:val="24"/>
          </w:rPr>
          <w:t>https://doi.org/10.101</w:t>
        </w:r>
        <w:r w:rsidR="00A00B3A" w:rsidRPr="001903A2">
          <w:rPr>
            <w:rStyle w:val="Hyperlink"/>
            <w:sz w:val="24"/>
            <w:szCs w:val="24"/>
          </w:rPr>
          <w:t>6</w:t>
        </w:r>
        <w:r w:rsidR="00A00B3A" w:rsidRPr="001903A2">
          <w:rPr>
            <w:rStyle w:val="Hyperlink"/>
            <w:sz w:val="24"/>
            <w:szCs w:val="24"/>
          </w:rPr>
          <w:t>/j.eururo.2019.04.033</w:t>
        </w:r>
      </w:hyperlink>
    </w:p>
    <w:p w14:paraId="2EC3AEE7" w14:textId="5FCA4AD3" w:rsidR="00A00B3A" w:rsidRDefault="00A00B3A" w:rsidP="00737219">
      <w:pPr>
        <w:jc w:val="both"/>
        <w:rPr>
          <w:sz w:val="24"/>
          <w:szCs w:val="24"/>
        </w:rPr>
      </w:pPr>
    </w:p>
    <w:p w14:paraId="2357C749" w14:textId="5273D3D7" w:rsidR="00A00B3A" w:rsidRDefault="00A00B3A" w:rsidP="00737219">
      <w:pPr>
        <w:jc w:val="both"/>
        <w:rPr>
          <w:sz w:val="24"/>
          <w:szCs w:val="24"/>
        </w:rPr>
      </w:pPr>
      <w:r>
        <w:rPr>
          <w:sz w:val="24"/>
          <w:szCs w:val="24"/>
        </w:rPr>
        <w:t>Chris Booth, MBBS, FRCS</w:t>
      </w:r>
    </w:p>
    <w:p w14:paraId="5D838543" w14:textId="3AAE0BD6" w:rsidR="00A00B3A" w:rsidRPr="00BF7A3F" w:rsidRDefault="00A00B3A" w:rsidP="00737219">
      <w:pPr>
        <w:jc w:val="both"/>
        <w:rPr>
          <w:sz w:val="24"/>
          <w:szCs w:val="24"/>
        </w:rPr>
      </w:pPr>
      <w:r>
        <w:rPr>
          <w:sz w:val="24"/>
          <w:szCs w:val="24"/>
        </w:rPr>
        <w:t>Consultant Urologist (retired)</w:t>
      </w:r>
      <w:r w:rsidR="00E82E51">
        <w:rPr>
          <w:sz w:val="24"/>
          <w:szCs w:val="24"/>
        </w:rPr>
        <w:t>; Clinical Director, CHAPS Men’s Health Charity</w:t>
      </w:r>
    </w:p>
    <w:sectPr w:rsidR="00A00B3A" w:rsidRPr="00BF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3F"/>
    <w:rsid w:val="000C49F3"/>
    <w:rsid w:val="001067A1"/>
    <w:rsid w:val="004D0CC8"/>
    <w:rsid w:val="006F41F3"/>
    <w:rsid w:val="00737219"/>
    <w:rsid w:val="0084296D"/>
    <w:rsid w:val="008D2FA3"/>
    <w:rsid w:val="00956635"/>
    <w:rsid w:val="00A00B3A"/>
    <w:rsid w:val="00A13457"/>
    <w:rsid w:val="00A93CE2"/>
    <w:rsid w:val="00BF7A3F"/>
    <w:rsid w:val="00E82E51"/>
    <w:rsid w:val="00E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656F"/>
  <w15:chartTrackingRefBased/>
  <w15:docId w15:val="{6A3310F0-FA51-451E-8F42-BE18865E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ururo.2019.04.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Taylor</dc:creator>
  <cp:keywords/>
  <dc:description/>
  <cp:lastModifiedBy>Chris Booth</cp:lastModifiedBy>
  <cp:revision>2</cp:revision>
  <dcterms:created xsi:type="dcterms:W3CDTF">2020-05-15T15:58:00Z</dcterms:created>
  <dcterms:modified xsi:type="dcterms:W3CDTF">2020-05-15T15:58:00Z</dcterms:modified>
</cp:coreProperties>
</file>